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lineRule="auto" w:line="240" w:before="400" w:after="300"/>
        <w:rPr/>
      </w:pPr>
      <w:bookmarkStart w:id="0" w:name="_Toc204866378"/>
      <w:r>
        <w:rPr/>
        <w:t xml:space="preserve">Plan Annuel </w:t>
      </w:r>
      <w:r>
        <w:rPr>
          <w:shd w:fill="auto" w:val="clear"/>
        </w:rPr>
        <w:t>2026</w:t>
      </w:r>
      <w:r>
        <w:rPr/>
        <w:t xml:space="preserve">  pour la </w:t>
      </w:r>
      <w:r>
        <w:rPr>
          <w:shd w:fill="auto" w:val="clear"/>
        </w:rPr>
        <w:t>Labastide-Chalosse</w:t>
      </w:r>
    </w:p>
    <w:p>
      <w:pPr>
        <w:pStyle w:val="Heading1"/>
        <w:rPr>
          <w:rFonts w:ascii="Poppins" w:hAnsi="Poppins" w:eastAsia="Calibri"/>
          <w:color w:val="C21532"/>
          <w:szCs w:val="32"/>
          <w14:textFill>
            <w14:solidFill>
              <w14:srgbClr w14:val="C21532">
                <w14:lumMod w14:val="75000"/>
              </w14:srgbClr>
            </w14:solidFill>
          </w14:textFill>
        </w:rPr>
      </w:pPr>
      <w:r>
        <w:rPr/>
        <w:t>Sommaire</w:t>
      </w:r>
      <w:bookmarkEnd w:id="0"/>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b w:val="false"/>
              <w:bCs w:val="false"/>
              <w:color w:val="auto"/>
              <w:kern w:val="2"/>
              <w:sz w:val="24"/>
              <w:szCs w:val="24"/>
              <w:lang w:eastAsia="fr-FR"/>
              <w14:ligatures w14:val="standardContextual"/>
            </w:rPr>
          </w:pPr>
          <w:r>
            <w:fldChar w:fldCharType="begin"/>
          </w:r>
          <w:r>
            <w:rPr>
              <w:rStyle w:val="Sautdindex"/>
              <w:vanish w:val="false"/>
              <w:webHidden/>
            </w:rPr>
            <w:instrText xml:space="preserve"> TOC \z \o "1-2" \u \h</w:instrText>
          </w:r>
          <w:r>
            <w:rPr>
              <w:rStyle w:val="Sautdindex"/>
              <w:vanish w:val="false"/>
              <w:webHidden/>
            </w:rPr>
            <w:fldChar w:fldCharType="separate"/>
          </w:r>
          <w:hyperlink w:anchor="_Toc204866379">
            <w:r>
              <w:rPr>
                <w:rStyle w:val="Sautdindex"/>
                <w:vanish w:val="false"/>
                <w:webHidden/>
              </w:rPr>
              <w:t>Introduction</w:t>
            </w:r>
            <w:r>
              <w:rPr>
                <w:webHidden/>
              </w:rPr>
              <w:fldChar w:fldCharType="begin"/>
            </w:r>
            <w:r>
              <w:rPr>
                <w:webHidden/>
              </w:rPr>
              <w:instrText xml:space="preserve">PAGEREF _Toc204866379 \h</w:instrText>
            </w:r>
            <w:r>
              <w:rPr>
                <w:webHidden/>
              </w:rPr>
              <w:fldChar w:fldCharType="separate"/>
            </w:r>
            <w:r>
              <w:rPr>
                <w:rStyle w:val="Sautdindex"/>
                <w:vanish w:val="false"/>
              </w:rPr>
              <w:tab/>
              <w:t>2</w:t>
            </w:r>
            <w:r>
              <w:rPr>
                <w:webHidden/>
              </w:rPr>
              <w:fldChar w:fldCharType="end"/>
            </w:r>
          </w:hyperlink>
        </w:p>
        <w:p>
          <w:pPr>
            <w:pStyle w:val="TOC2"/>
            <w:rPr>
              <w:rFonts w:ascii="Calibri" w:hAnsi="Calibri" w:eastAsia="" w:cs="" w:asciiTheme="minorHAnsi" w:cstheme="minorBidi" w:eastAsiaTheme="minorEastAsia" w:hAnsiTheme="minorHAnsi"/>
              <w:kern w:val="2"/>
              <w:lang w:eastAsia="fr-FR"/>
              <w14:ligatures w14:val="standardContextual"/>
            </w:rPr>
          </w:pPr>
          <w:hyperlink w:anchor="_Toc204866380">
            <w:r>
              <w:rPr>
                <w:webHidden/>
              </w:rPr>
              <w:fldChar w:fldCharType="begin"/>
            </w:r>
            <w:r>
              <w:rPr>
                <w:webHidden/>
              </w:rPr>
              <w:instrText xml:space="preserve">PAGEREF _Toc204866380 \h</w:instrText>
            </w:r>
            <w:r>
              <w:rPr>
                <w:webHidden/>
              </w:rPr>
              <w:fldChar w:fldCharType="separate"/>
            </w:r>
            <w:r>
              <w:rPr>
                <w:rStyle w:val="Sautdindex"/>
                <w:vanish w:val="false"/>
                <w:webHidden/>
              </w:rPr>
              <w:t>Le Schéma pluriannuel d’accessibilité numérique</w:t>
              <w:tab/>
              <w:t>2</w:t>
            </w:r>
            <w:r>
              <w:rPr>
                <w:webHidden/>
              </w:rPr>
              <w:fldChar w:fldCharType="end"/>
            </w:r>
          </w:hyperlink>
        </w:p>
        <w:p>
          <w:pPr>
            <w:pStyle w:val="TOC2"/>
            <w:rPr>
              <w:rFonts w:ascii="Calibri" w:hAnsi="Calibri" w:eastAsia="" w:cs="" w:asciiTheme="minorHAnsi" w:cstheme="minorBidi" w:eastAsiaTheme="minorEastAsia" w:hAnsiTheme="minorHAnsi"/>
              <w:kern w:val="2"/>
              <w:lang w:eastAsia="fr-FR"/>
              <w14:ligatures w14:val="standardContextual"/>
            </w:rPr>
          </w:pPr>
          <w:hyperlink w:anchor="_Toc204866381">
            <w:r>
              <w:rPr>
                <w:webHidden/>
              </w:rPr>
              <w:fldChar w:fldCharType="begin"/>
            </w:r>
            <w:r>
              <w:rPr>
                <w:webHidden/>
              </w:rPr>
              <w:instrText xml:space="preserve">PAGEREF _Toc204866381 \h</w:instrText>
            </w:r>
            <w:r>
              <w:rPr>
                <w:webHidden/>
              </w:rPr>
              <w:fldChar w:fldCharType="separate"/>
            </w:r>
            <w:r>
              <w:rPr>
                <w:rStyle w:val="Sautdindex"/>
                <w:vanish w:val="false"/>
                <w:webHidden/>
              </w:rPr>
              <w:t>Les plans annuels d’action</w:t>
              <w:tab/>
              <w:t>2</w:t>
            </w:r>
            <w:r>
              <w:rPr>
                <w:webHidden/>
              </w:rPr>
              <w:fldChar w:fldCharType="end"/>
            </w:r>
          </w:hyperlink>
        </w:p>
        <w:p>
          <w:pPr>
            <w:pStyle w:val="TOC2"/>
            <w:rPr>
              <w:rFonts w:ascii="Calibri" w:hAnsi="Calibri" w:eastAsia="" w:cs="" w:asciiTheme="minorHAnsi" w:cstheme="minorBidi" w:eastAsiaTheme="minorEastAsia" w:hAnsiTheme="minorHAnsi"/>
              <w:kern w:val="2"/>
              <w:lang w:eastAsia="fr-FR"/>
              <w14:ligatures w14:val="standardContextual"/>
            </w:rPr>
          </w:pPr>
          <w:hyperlink w:anchor="_Toc204866382">
            <w:r>
              <w:rPr>
                <w:webHidden/>
              </w:rPr>
              <w:fldChar w:fldCharType="begin"/>
            </w:r>
            <w:r>
              <w:rPr>
                <w:webHidden/>
              </w:rPr>
              <w:instrText xml:space="preserve">PAGEREF _Toc204866382 \h</w:instrText>
            </w:r>
            <w:r>
              <w:rPr>
                <w:webHidden/>
              </w:rPr>
              <w:fldChar w:fldCharType="separate"/>
            </w:r>
            <w:r>
              <w:rPr>
                <w:rStyle w:val="Sautdindex"/>
                <w:vanish w:val="false"/>
                <w:webHidden/>
              </w:rPr>
              <w:t>Tableau récapitulatif</w:t>
              <w:tab/>
              <w:t>2</w:t>
            </w:r>
            <w:r>
              <w:rPr>
                <w:webHidden/>
              </w:rPr>
              <w:fldChar w:fldCharType="end"/>
            </w:r>
          </w:hyperlink>
        </w:p>
        <w:p>
          <w:pPr>
            <w:pStyle w:val="TOC2"/>
            <w:rPr/>
          </w:pPr>
          <w:hyperlink w:anchor="_Toc204866383">
            <w:r>
              <w:rPr>
                <w:webHidden/>
              </w:rPr>
              <w:fldChar w:fldCharType="begin"/>
            </w:r>
            <w:r>
              <w:rPr>
                <w:webHidden/>
              </w:rPr>
              <w:instrText xml:space="preserve">PAGEREF _Toc204866383 \h</w:instrText>
            </w:r>
            <w:r>
              <w:rPr>
                <w:webHidden/>
              </w:rPr>
              <w:fldChar w:fldCharType="separate"/>
            </w:r>
            <w:r>
              <w:rPr>
                <w:rStyle w:val="Sautdindex"/>
                <w:vanish w:val="false"/>
                <w:webHidden/>
              </w:rPr>
              <w:t>Deux types d’audit peuvent être réalisés :</w:t>
              <w:tab/>
              <w:t>4</w:t>
            </w:r>
            <w:r>
              <w:rPr>
                <w:webHidden/>
              </w:rPr>
              <w:fldChar w:fldCharType="end"/>
            </w:r>
          </w:hyperlink>
          <w:r>
            <w:rPr>
              <w:rStyle w:val="Sautdindex"/>
              <w:vanish w:val="false"/>
            </w:rPr>
            <w:fldChar w:fldCharType="end"/>
          </w:r>
        </w:p>
      </w:sdtContent>
    </w:sdt>
    <w:p>
      <w:pPr>
        <w:pStyle w:val="Normal"/>
        <w:rPr/>
      </w:pPr>
      <w:r>
        <w:rPr/>
      </w:r>
      <w:r>
        <w:br w:type="page"/>
      </w:r>
    </w:p>
    <w:p>
      <w:pPr>
        <w:pStyle w:val="Heading2"/>
        <w:framePr w:w="23" w:h="569" w:y="1" w:hSpace="0" w:vSpace="0" w:wrap="notBeside" w:vAnchor="text" w:hAnchor="text" w:hRule="exact"/>
        <w:pBdr/>
        <w:spacing w:before="240" w:after="0"/>
        <w:rPr/>
      </w:pPr>
      <w:r>
        <w:rPr/>
      </w:r>
    </w:p>
    <w:p>
      <w:pPr>
        <w:pStyle w:val="Heading2"/>
        <w:spacing w:before="0" w:after="0"/>
        <w:ind w:hanging="0"/>
        <w:rPr/>
      </w:pPr>
      <w:bookmarkStart w:id="1" w:name="_Toc204866379"/>
      <w:r>
        <w:rPr/>
        <w:t>Introduction</w:t>
      </w:r>
      <w:bookmarkEnd w:id="1"/>
    </w:p>
    <w:p>
      <w:pPr>
        <w:pStyle w:val="Normal"/>
        <w:spacing w:lineRule="auto" w:line="276" w:before="180" w:after="160"/>
        <w:rPr>
          <w:rFonts w:cs="Calibri" w:cstheme="minorHAnsi"/>
          <w:sz w:val="24"/>
          <w:szCs w:val="24"/>
        </w:rPr>
      </w:pPr>
      <w:r>
        <w:rPr>
          <w:rFonts w:cs="Calibri" w:cstheme="minorHAnsi"/>
          <w:sz w:val="24"/>
          <w:szCs w:val="24"/>
        </w:rPr>
        <w:t>L’article 47 de la loi n° 2005-102 du 11 février 2005 pour l’égalité des droits et des chances (modifié par la loi N°2018-771 du 5 septembre 2018 – article 80), la participation et la citoyenneté des personnes est un article de référence en matière d’accessibilité numérique. Il rend obligatoire à tout service de communication publique en ligne d’être accessible à tous.</w:t>
      </w:r>
    </w:p>
    <w:p>
      <w:pPr>
        <w:pStyle w:val="Heading2"/>
        <w:framePr w:w="5555" w:h="569" w:y="1" w:hSpace="0" w:vSpace="0" w:wrap="notBeside" w:vAnchor="text" w:hAnchor="text" w:hRule="exact"/>
        <w:pBdr/>
        <w:spacing w:before="240" w:after="0"/>
        <w:rPr/>
      </w:pPr>
      <w:bookmarkStart w:id="2" w:name="_Toc204866380"/>
      <w:r>
        <w:rPr/>
        <w:t>Le Schéma pluriannuel d’accessibilité numérique</w:t>
      </w:r>
      <w:bookmarkEnd w:id="2"/>
    </w:p>
    <w:p>
      <w:pPr>
        <w:pStyle w:val="Normal"/>
        <w:spacing w:lineRule="auto" w:line="276"/>
        <w:rPr>
          <w:rFonts w:cs="Calibri" w:cstheme="minorHAnsi"/>
          <w:sz w:val="24"/>
          <w:szCs w:val="24"/>
        </w:rPr>
      </w:pPr>
      <w:r>
        <w:rPr>
          <w:rFonts w:cs="Calibri" w:cstheme="minorHAnsi"/>
          <w:sz w:val="24"/>
          <w:szCs w:val="24"/>
        </w:rPr>
        <w:t>La loi demande de publier un schéma pluriannuel d'une durée de trois ans dans l'objectif d'informer le public des moyens et actions mises en place pour rendre les sites et applications accessibles à tous et plus particulièrement conformes au RGAA (Référentiel général d’amélioration de l’accessibilité).</w:t>
      </w:r>
    </w:p>
    <w:p>
      <w:pPr>
        <w:pStyle w:val="Normal"/>
        <w:spacing w:lineRule="auto" w:line="276"/>
        <w:rPr>
          <w:highlight w:val="none"/>
          <w:shd w:fill="auto" w:val="clear"/>
        </w:rPr>
      </w:pPr>
      <w:r>
        <w:rPr>
          <w:rFonts w:cs="Calibri" w:cstheme="minorHAnsi"/>
          <w:sz w:val="24"/>
          <w:szCs w:val="24"/>
          <w:shd w:fill="auto" w:val="clear"/>
        </w:rPr>
        <w:t>Le schéma pluriannuel pour l'accessibilité des sites et application de Labastide-Chalosse a été publié le : [date</w:t>
      </w:r>
      <w:r>
        <w:rPr>
          <w:rFonts w:cs="Calibri" w:cstheme="minorHAnsi"/>
          <w:sz w:val="24"/>
          <w:shd w:fill="auto" w:val="clear"/>
        </w:rPr>
        <w:t>]</w:t>
      </w:r>
      <w:r>
        <w:rPr>
          <w:rFonts w:cs="Calibri" w:cstheme="minorHAnsi"/>
          <w:sz w:val="24"/>
          <w:szCs w:val="24"/>
          <w:shd w:fill="auto" w:val="clear"/>
        </w:rPr>
        <w:t xml:space="preserve"> et est disponible à la consultation à cette adresse : https://www.labastide-chalosse.fr</w:t>
      </w:r>
    </w:p>
    <w:p>
      <w:pPr>
        <w:pStyle w:val="Heading2"/>
        <w:framePr w:w="2942" w:h="569" w:y="1" w:hSpace="0" w:vSpace="0" w:wrap="notBeside" w:vAnchor="text" w:hAnchor="text" w:hRule="exact"/>
        <w:pBdr/>
        <w:spacing w:before="240" w:after="0"/>
        <w:rPr>
          <w:i/>
          <w:iCs/>
        </w:rPr>
      </w:pPr>
      <w:bookmarkStart w:id="3" w:name="_Toc204866381"/>
      <w:r>
        <w:rPr/>
        <w:t>Les plans annuels d’action</w:t>
      </w:r>
      <w:bookmarkEnd w:id="3"/>
    </w:p>
    <w:p>
      <w:pPr>
        <w:pStyle w:val="Normal"/>
        <w:spacing w:lineRule="auto" w:line="276"/>
        <w:rPr>
          <w:rFonts w:cs="Calibri" w:cstheme="minorHAnsi"/>
          <w:sz w:val="24"/>
          <w:szCs w:val="24"/>
        </w:rPr>
      </w:pPr>
      <w:r>
        <w:rPr>
          <w:rFonts w:cs="Calibri" w:cstheme="minorHAnsi"/>
          <w:sz w:val="24"/>
          <w:szCs w:val="24"/>
        </w:rPr>
        <w:t>Le schéma pluriannuel doit être accompagné d'un plan annuel d'actions qui détaille les opérations programmées et mises en œuvre pour l’année courante ainsi que l'état de suivi de ces actions.</w:t>
      </w:r>
    </w:p>
    <w:p>
      <w:pPr>
        <w:pStyle w:val="Normal"/>
        <w:spacing w:lineRule="auto" w:line="276"/>
        <w:rPr>
          <w:rFonts w:cs="Calibri" w:cstheme="minorHAnsi"/>
          <w:sz w:val="24"/>
          <w:szCs w:val="24"/>
        </w:rPr>
      </w:pPr>
      <w:r>
        <w:rPr>
          <w:rFonts w:cs="Calibri" w:cstheme="minorHAnsi"/>
          <w:sz w:val="24"/>
          <w:szCs w:val="24"/>
        </w:rPr>
        <w:t xml:space="preserve">Le présent document est le plan annuel </w:t>
      </w:r>
      <w:r>
        <w:rPr>
          <w:rFonts w:cs="Calibri" w:cstheme="minorHAnsi"/>
          <w:sz w:val="24"/>
          <w:szCs w:val="24"/>
          <w:shd w:fill="auto" w:val="clear"/>
        </w:rPr>
        <w:t>2026associé au schéma pluriannuel 2026-2029</w:t>
      </w:r>
    </w:p>
    <w:p>
      <w:pPr>
        <w:pStyle w:val="Normal"/>
        <w:spacing w:lineRule="auto" w:line="276"/>
        <w:rPr>
          <w:rFonts w:cs="Calibri" w:cstheme="minorHAnsi"/>
          <w:sz w:val="24"/>
          <w:szCs w:val="24"/>
        </w:rPr>
      </w:pPr>
      <w:r>
        <w:rPr>
          <w:rFonts w:cs="Calibri" w:cstheme="minorHAnsi"/>
          <w:sz w:val="24"/>
          <w:szCs w:val="24"/>
        </w:rPr>
        <w:t xml:space="preserve">Il comporte un tableau récapitulatif des actions qui ont été ou seront mises en œuvre courant </w:t>
      </w:r>
      <w:r>
        <w:rPr>
          <w:rFonts w:cs="Calibri" w:cstheme="minorHAnsi"/>
          <w:sz w:val="24"/>
          <w:szCs w:val="24"/>
          <w:shd w:fill="auto" w:val="clear"/>
        </w:rPr>
        <w:t>2026</w:t>
      </w:r>
      <w:r>
        <w:rPr>
          <w:rFonts w:cs="Calibri" w:cstheme="minorHAnsi"/>
          <w:sz w:val="24"/>
          <w:szCs w:val="24"/>
          <w:shd w:fill="auto" w:val="clear"/>
        </w:rPr>
        <w:t>,</w:t>
      </w:r>
      <w:r>
        <w:rPr>
          <w:rFonts w:cs="Calibri" w:cstheme="minorHAnsi"/>
          <w:sz w:val="24"/>
          <w:szCs w:val="24"/>
          <w:shd w:fill="auto" w:val="clear"/>
        </w:rPr>
        <w:t xml:space="preserve"> </w:t>
      </w:r>
      <w:r>
        <w:rPr>
          <w:rFonts w:cs="Calibri" w:cstheme="minorHAnsi"/>
          <w:sz w:val="24"/>
          <w:szCs w:val="24"/>
        </w:rPr>
        <w:t>leur date d'échéance si elles sont connues ainsi que leur état d'avancement et de réalisation.</w:t>
      </w:r>
    </w:p>
    <w:p>
      <w:pPr>
        <w:pStyle w:val="Heading2"/>
        <w:framePr w:w="2395" w:h="569" w:y="1" w:hSpace="0" w:vSpace="0" w:wrap="notBeside" w:vAnchor="text" w:hAnchor="text" w:hRule="exact"/>
        <w:pBdr/>
        <w:spacing w:before="240" w:after="0"/>
        <w:rPr/>
      </w:pPr>
      <w:bookmarkStart w:id="4" w:name="_Toc204866382"/>
      <w:r>
        <w:rPr/>
        <w:t>Tableau récapitulatif</w:t>
      </w:r>
      <w:bookmarkEnd w:id="4"/>
    </w:p>
    <w:p>
      <w:pPr>
        <w:pStyle w:val="Normal"/>
        <w:spacing w:lineRule="auto" w:line="240" w:before="0" w:after="0"/>
        <w:rPr>
          <w:sz w:val="4"/>
        </w:rPr>
      </w:pPr>
      <w:r>
        <w:rPr>
          <w:sz w:val="4"/>
        </w:rPr>
      </w:r>
    </w:p>
    <w:tbl>
      <w:tblPr>
        <w:tblStyle w:val="Grilledetableauclaire"/>
        <w:tblW w:w="9502" w:type="dxa"/>
        <w:jc w:val="start"/>
        <w:tblInd w:w="0" w:type="dxa"/>
        <w:shd w:fill="FFFFFF" w:val="clear"/>
        <w:tblLayout w:type="fixed"/>
        <w:tblCellMar>
          <w:top w:w="0" w:type="dxa"/>
          <w:start w:w="108" w:type="dxa"/>
          <w:bottom w:w="0" w:type="dxa"/>
          <w:end w:w="108" w:type="dxa"/>
        </w:tblCellMar>
        <w:tblLook w:val="04a0" w:firstRow="1" w:noVBand="1" w:lastRow="0" w:firstColumn="1" w:lastColumn="0" w:noHBand="0"/>
      </w:tblPr>
      <w:tblGrid>
        <w:gridCol w:w="1659"/>
        <w:gridCol w:w="1985"/>
        <w:gridCol w:w="3516"/>
        <w:gridCol w:w="1172"/>
        <w:gridCol w:w="1170"/>
      </w:tblGrid>
      <w:tr>
        <w:trPr>
          <w:tblHeader w:val="true"/>
          <w:trHeight w:val="823" w:hRule="atLeast"/>
          <w:cnfStyle w:val="100000000000" w:firstRow="1" w:lastRow="0" w:firstColumn="0" w:lastColumn="0" w:oddVBand="0" w:evenVBand="0" w:oddHBand="0" w:evenHBand="0" w:firstRowFirstColumn="0" w:firstRowLastColumn="0" w:lastRowFirstColumn="0" w:lastRowLastColumn="0"/>
        </w:trPr>
        <w:tc>
          <w:tcPr>
            <w:tcW w:w="1659"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Type</w:t>
            </w:r>
          </w:p>
        </w:tc>
        <w:tc>
          <w:tcPr>
            <w:tcW w:w="1985"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Action</w:t>
            </w:r>
          </w:p>
        </w:tc>
        <w:tc>
          <w:tcPr>
            <w:tcW w:w="3516"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Détails</w:t>
            </w:r>
          </w:p>
        </w:tc>
        <w:tc>
          <w:tcPr>
            <w:tcW w:w="1172"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Mise en œuvre</w:t>
            </w:r>
          </w:p>
        </w:tc>
        <w:tc>
          <w:tcPr>
            <w:tcW w:w="1170"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Réalisé</w:t>
            </w:r>
          </w:p>
        </w:tc>
      </w:tr>
      <w:tr>
        <w:trPr>
          <w:trHeight w:val="82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Schéma pluriannuel</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Mise en place</w:t>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Recensement des sites numériques et logiciels</w:t>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2026</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 faire</w:t>
            </w:r>
          </w:p>
        </w:tc>
      </w:tr>
      <w:tr>
        <w:trPr>
          <w:trHeight w:val="82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Schéma pluriannuel</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Réalisation</w:t>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 xml:space="preserve">Élaboration et mise en œuvre du plan d’actions </w:t>
            </w:r>
            <w:r>
              <w:rPr>
                <w:rFonts w:eastAsia="Calibri" w:cs="Calibri" w:ascii="Calibri" w:hAnsi="Calibri" w:asciiTheme="minorHAnsi" w:cstheme="minorHAnsi" w:hAnsiTheme="minorHAnsi"/>
                <w:kern w:val="0"/>
                <w:sz w:val="24"/>
                <w:szCs w:val="24"/>
                <w:shd w:fill="auto" w:val="clear"/>
                <w:lang w:val="fr-FR" w:eastAsia="en-US" w:bidi="ar-SA"/>
              </w:rPr>
              <w:t>2026</w:t>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2026</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En Cours</w:t>
            </w:r>
          </w:p>
        </w:tc>
      </w:tr>
      <w:tr>
        <w:trPr>
          <w:trHeight w:val="82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Organisation</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Réalisation</w:t>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Mise en service du canal de signalement</w:t>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highlight w:val="yellow"/>
              </w:rPr>
            </w:pPr>
            <w:r>
              <w:rPr>
                <w:rFonts w:eastAsia="Calibri" w:cs="Calibri" w:ascii="Calibri" w:hAnsi="Calibri" w:asciiTheme="minorHAnsi" w:cstheme="minorHAnsi" w:hAnsiTheme="minorHAnsi"/>
                <w:kern w:val="0"/>
                <w:sz w:val="24"/>
                <w:szCs w:val="24"/>
                <w:lang w:val="fr-FR" w:eastAsia="en-US" w:bidi="ar-SA"/>
              </w:rPr>
              <w:t>[année]</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Réalisé</w:t>
            </w:r>
          </w:p>
        </w:tc>
      </w:tr>
      <w:tr>
        <w:trPr>
          <w:trHeight w:val="82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Organisation</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Réalisation</w:t>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Animation d’un réseau de contributeurs en interne</w:t>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[année]</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 faire</w:t>
            </w:r>
          </w:p>
        </w:tc>
      </w:tr>
      <w:tr>
        <w:trPr>
          <w:trHeight w:val="1234"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Organisation</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Mise à jour des procédures</w:t>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Introduction d’une clause accessibilité numérique dans les procédures de marché</w:t>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[année]</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 faire</w:t>
            </w:r>
          </w:p>
        </w:tc>
      </w:tr>
      <w:tr>
        <w:trPr>
          <w:trHeight w:val="251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Sensibilisation</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 xml:space="preserve">Formation des référents </w:t>
            </w:r>
          </w:p>
        </w:tc>
        <w:tc>
          <w:tcPr>
            <w:tcW w:w="3516" w:type="dxa"/>
            <w:tcBorders/>
            <w:shd w:color="auto" w:fill="FFFFFF" w:themeFill="background1" w:val="clear"/>
            <w:vAlign w:val="center"/>
          </w:tcPr>
          <w:p>
            <w:pPr>
              <w:pStyle w:val="Normal"/>
              <w:widowControl/>
              <w:suppressAutoHyphens w:val="true"/>
              <w:spacing w:lineRule="auto" w:line="276" w:before="0" w:after="0"/>
              <w:jc w:val="both"/>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Formation Devenir Référent Accéssibilité</w:t>
            </w:r>
          </w:p>
        </w:tc>
        <w:tc>
          <w:tcPr>
            <w:tcW w:w="1172"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[année]</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 faire</w:t>
            </w:r>
          </w:p>
        </w:tc>
      </w:tr>
      <w:tr>
        <w:trPr>
          <w:trHeight w:val="3351"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Sensibilisation / formation</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Sensibilisation des acteurs</w:t>
            </w:r>
          </w:p>
        </w:tc>
        <w:tc>
          <w:tcPr>
            <w:tcW w:w="3516" w:type="dxa"/>
            <w:tcBorders/>
            <w:shd w:color="auto" w:fill="FFFFFF" w:themeFill="background1" w:val="clear"/>
            <w:vAlign w:val="center"/>
          </w:tcPr>
          <w:p>
            <w:pPr>
              <w:pStyle w:val="ListParagraph"/>
              <w:widowControl/>
              <w:numPr>
                <w:ilvl w:val="0"/>
                <w:numId w:val="1"/>
              </w:numPr>
              <w:suppressAutoHyphens w:val="true"/>
              <w:spacing w:lineRule="auto" w:line="276" w:before="0" w:after="0"/>
              <w:contextualSpacing/>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Formation contribuer de manière accessible avec le RGAA</w:t>
            </w:r>
          </w:p>
          <w:p>
            <w:pPr>
              <w:pStyle w:val="ListParagraph"/>
              <w:widowControl/>
              <w:numPr>
                <w:ilvl w:val="0"/>
                <w:numId w:val="1"/>
              </w:numPr>
              <w:suppressAutoHyphens w:val="true"/>
              <w:spacing w:lineRule="auto" w:line="276" w:before="0" w:after="0"/>
              <w:contextualSpacing/>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Sensibilisation aux enjeux du numérique accessible accessibilité</w:t>
            </w:r>
          </w:p>
          <w:p>
            <w:pPr>
              <w:pStyle w:val="ListParagraph"/>
              <w:widowControl/>
              <w:suppressAutoHyphens w:val="true"/>
              <w:spacing w:lineRule="auto" w:line="276" w:before="0" w:after="0"/>
              <w:contextualSpacing/>
              <w:jc w:val="start"/>
              <w:rPr>
                <w:rFonts w:ascii="Calibri" w:hAnsi="Calibri" w:cs="Calibri" w:asciiTheme="minorHAnsi" w:cstheme="minorHAnsi" w:hAnsiTheme="minorHAnsi"/>
                <w:sz w:val="24"/>
              </w:rPr>
            </w:pPr>
            <w:r>
              <w:rPr>
                <w:rFonts w:cs="Calibri" w:cstheme="minorHAnsi" w:ascii="Calibri" w:hAnsi="Calibri"/>
                <w:sz w:val="24"/>
              </w:rPr>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[année]</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 faire</w:t>
            </w:r>
          </w:p>
        </w:tc>
      </w:tr>
      <w:tr>
        <w:trPr>
          <w:trHeight w:val="82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Conformité</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Réalisation</w:t>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Prise en compte de l’obligation d’affichage</w:t>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2025</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Réalisé</w:t>
            </w:r>
          </w:p>
        </w:tc>
      </w:tr>
      <w:tr>
        <w:trPr>
          <w:trHeight w:val="82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Conformité</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Réalisation</w:t>
            </w:r>
          </w:p>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cs="Calibri" w:cstheme="minorHAnsi" w:ascii="Calibri" w:hAnsi="Calibri"/>
                <w:sz w:val="24"/>
              </w:rPr>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Publication d’une déclaration d'accessibilité</w:t>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2025</w:t>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Réalisé t</w:t>
            </w:r>
          </w:p>
        </w:tc>
      </w:tr>
      <w:tr>
        <w:trPr>
          <w:trHeight w:val="823" w:hRule="atLeast"/>
        </w:trPr>
        <w:tc>
          <w:tcPr>
            <w:tcW w:w="1659"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Conformité</w:t>
            </w:r>
          </w:p>
        </w:tc>
        <w:tc>
          <w:tcPr>
            <w:tcW w:w="198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Réalisation</w:t>
            </w:r>
          </w:p>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cs="Calibri" w:cstheme="minorHAnsi" w:ascii="Calibri" w:hAnsi="Calibri"/>
                <w:sz w:val="24"/>
              </w:rPr>
            </w:r>
          </w:p>
        </w:tc>
        <w:tc>
          <w:tcPr>
            <w:tcW w:w="351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Rédiger un schéma pluriannuel</w:t>
            </w:r>
          </w:p>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cs="Calibri" w:cstheme="minorHAnsi" w:ascii="Calibri" w:hAnsi="Calibri"/>
                <w:sz w:val="24"/>
              </w:rPr>
            </w:r>
          </w:p>
        </w:tc>
        <w:tc>
          <w:tcPr>
            <w:tcW w:w="1172" w:type="dxa"/>
            <w:tcBorders/>
            <w:shd w:color="auto" w:fill="FFFFFF" w:themeFill="background1"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cs="Calibri" w:cstheme="minorHAnsi" w:ascii="Calibri" w:hAnsi="Calibri"/>
                <w:sz w:val="24"/>
              </w:rPr>
            </w:r>
          </w:p>
        </w:tc>
        <w:tc>
          <w:tcPr>
            <w:tcW w:w="1170"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cs="Calibri" w:cstheme="minorHAnsi" w:ascii="Calibri" w:hAnsi="Calibri"/>
                <w:sz w:val="24"/>
              </w:rPr>
            </w:r>
          </w:p>
        </w:tc>
      </w:tr>
    </w:tbl>
    <w:p>
      <w:pPr>
        <w:pStyle w:val="Normal"/>
        <w:rPr>
          <w:i/>
          <w:iCs/>
        </w:rPr>
      </w:pPr>
      <w:r>
        <w:rPr>
          <w:i/>
          <w:iCs/>
        </w:rPr>
      </w:r>
    </w:p>
    <w:p>
      <w:pPr>
        <w:pStyle w:val="ListParagraph"/>
        <w:numPr>
          <w:ilvl w:val="0"/>
          <w:numId w:val="2"/>
        </w:numPr>
        <w:spacing w:lineRule="auto" w:line="276" w:before="180" w:after="160"/>
        <w:contextualSpacing/>
        <w:rPr>
          <w:rFonts w:cs="Calibri" w:cstheme="minorHAnsi"/>
          <w:sz w:val="24"/>
          <w:szCs w:val="24"/>
        </w:rPr>
      </w:pPr>
      <w:r>
        <w:rPr>
          <w:rFonts w:cs="Calibri" w:cstheme="minorHAnsi"/>
          <w:sz w:val="24"/>
          <w:szCs w:val="24"/>
        </w:rPr>
      </w:r>
    </w:p>
    <w:p>
      <w:pPr>
        <w:pStyle w:val="Heading2"/>
        <w:framePr w:w="4593" w:h="569" w:y="1" w:hSpace="0" w:vSpace="0" w:wrap="notBeside" w:vAnchor="text" w:hAnchor="text" w:hRule="exact"/>
        <w:pBdr/>
        <w:spacing w:before="240" w:after="0"/>
        <w:rPr/>
      </w:pPr>
      <w:bookmarkStart w:id="5" w:name="_Toc204866383"/>
      <w:r>
        <w:rPr/>
        <w:t>Deux types d’audit peuvent être réalisés :</w:t>
      </w:r>
      <w:bookmarkEnd w:id="5"/>
    </w:p>
    <w:p>
      <w:pPr>
        <w:pStyle w:val="ListParagraph"/>
        <w:numPr>
          <w:ilvl w:val="0"/>
          <w:numId w:val="2"/>
        </w:numPr>
        <w:spacing w:lineRule="auto" w:line="276" w:before="180" w:after="160"/>
        <w:contextualSpacing/>
        <w:rPr>
          <w:rFonts w:cs="Calibri" w:cstheme="minorHAnsi"/>
          <w:sz w:val="24"/>
          <w:szCs w:val="24"/>
        </w:rPr>
      </w:pPr>
      <w:r>
        <w:rPr>
          <w:rFonts w:cs="Calibri" w:cstheme="minorHAnsi"/>
          <w:sz w:val="24"/>
          <w:szCs w:val="24"/>
        </w:rPr>
        <w:t>Des audits de conformité, tels que le prévoit le RGAA permettant de rédiger la déclaration d’accessibilité.</w:t>
      </w:r>
    </w:p>
    <w:p>
      <w:pPr>
        <w:pStyle w:val="ListParagraph"/>
        <w:numPr>
          <w:ilvl w:val="0"/>
          <w:numId w:val="2"/>
        </w:numPr>
        <w:spacing w:lineRule="auto" w:line="276" w:before="180" w:after="160"/>
        <w:contextualSpacing/>
        <w:rPr>
          <w:rFonts w:cs="Calibri" w:cstheme="minorHAnsi"/>
          <w:sz w:val="24"/>
          <w:szCs w:val="24"/>
        </w:rPr>
      </w:pPr>
      <w:r>
        <w:rPr>
          <w:rFonts w:cs="Calibri" w:cstheme="minorHAnsi"/>
          <w:sz w:val="24"/>
          <w:szCs w:val="24"/>
        </w:rPr>
        <w:t>Des audits de Validation</w:t>
      </w:r>
    </w:p>
    <w:tbl>
      <w:tblPr>
        <w:tblStyle w:val="Grilledetableauclaire"/>
        <w:tblW w:w="9209" w:type="dxa"/>
        <w:jc w:val="start"/>
        <w:tblInd w:w="0" w:type="dxa"/>
        <w:shd w:fill="FFFFFF" w:val="clear"/>
        <w:tblLayout w:type="fixed"/>
        <w:tblCellMar>
          <w:top w:w="0" w:type="dxa"/>
          <w:start w:w="108" w:type="dxa"/>
          <w:bottom w:w="0" w:type="dxa"/>
          <w:end w:w="108" w:type="dxa"/>
        </w:tblCellMar>
        <w:tblLook w:val="04a0" w:firstRow="1" w:noVBand="1" w:lastRow="0" w:firstColumn="1" w:lastColumn="0" w:noHBand="0"/>
      </w:tblPr>
      <w:tblGrid>
        <w:gridCol w:w="1608"/>
        <w:gridCol w:w="1926"/>
        <w:gridCol w:w="3265"/>
        <w:gridCol w:w="1276"/>
        <w:gridCol w:w="1134"/>
      </w:tblGrid>
      <w:tr>
        <w:trPr>
          <w:tblHeader w:val="true"/>
          <w:cnfStyle w:val="100000000000" w:firstRow="1" w:lastRow="0" w:firstColumn="0" w:lastColumn="0" w:oddVBand="0" w:evenVBand="0" w:oddHBand="0" w:evenHBand="0" w:firstRowFirstColumn="0" w:firstRowLastColumn="0" w:lastRowFirstColumn="0" w:lastRowLastColumn="0"/>
        </w:trPr>
        <w:tc>
          <w:tcPr>
            <w:tcW w:w="1608"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Type</w:t>
            </w:r>
          </w:p>
        </w:tc>
        <w:tc>
          <w:tcPr>
            <w:tcW w:w="1926"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Action</w:t>
            </w:r>
          </w:p>
        </w:tc>
        <w:tc>
          <w:tcPr>
            <w:tcW w:w="3265"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Détails</w:t>
            </w:r>
          </w:p>
        </w:tc>
        <w:tc>
          <w:tcPr>
            <w:tcW w:w="1276"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Mise en œuvre</w:t>
            </w:r>
          </w:p>
        </w:tc>
        <w:tc>
          <w:tcPr>
            <w:tcW w:w="1134" w:type="dxa"/>
            <w:tcBorders/>
            <w:shd w:color="auto" w:fill="E3EBF3" w:val="clear"/>
            <w:vAlign w:val="center"/>
          </w:tcPr>
          <w:p>
            <w:pPr>
              <w:pStyle w:val="Normal"/>
              <w:widowControl/>
              <w:suppressAutoHyphens w:val="true"/>
              <w:spacing w:lineRule="auto" w:line="276" w:before="0" w:after="0"/>
              <w:jc w:val="center"/>
              <w:rPr>
                <w:rFonts w:ascii="Calibri" w:hAnsi="Calibri" w:cs="Calibri" w:asciiTheme="minorHAnsi" w:cstheme="minorHAnsi" w:hAnsiTheme="minorHAnsi"/>
                <w:sz w:val="24"/>
              </w:rPr>
            </w:pPr>
            <w:r>
              <w:rPr>
                <w:rFonts w:eastAsia="Calibri" w:cs="Calibri" w:ascii="Calibri" w:hAnsi="Calibri" w:asciiTheme="minorHAnsi" w:cstheme="minorHAnsi" w:hAnsiTheme="minorHAnsi"/>
                <w:b/>
                <w:kern w:val="0"/>
                <w:sz w:val="24"/>
                <w:szCs w:val="24"/>
                <w:lang w:val="fr-FR" w:eastAsia="en-US" w:bidi="ar-SA"/>
              </w:rPr>
              <w:t>Réalisé</w:t>
            </w:r>
          </w:p>
        </w:tc>
      </w:tr>
      <w:tr>
        <w:trPr/>
        <w:tc>
          <w:tcPr>
            <w:tcW w:w="1608"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Audit</w:t>
            </w:r>
          </w:p>
        </w:tc>
        <w:tc>
          <w:tcPr>
            <w:tcW w:w="192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Audit de conformité au RGAA</w:t>
            </w:r>
          </w:p>
        </w:tc>
        <w:tc>
          <w:tcPr>
            <w:tcW w:w="326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cs="Calibri" w:cstheme="minorHAnsi" w:ascii="Calibri" w:hAnsi="Calibri"/>
                <w:sz w:val="24"/>
              </w:rPr>
            </w:r>
          </w:p>
        </w:tc>
        <w:tc>
          <w:tcPr>
            <w:tcW w:w="127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2026</w:t>
            </w:r>
          </w:p>
        </w:tc>
        <w:tc>
          <w:tcPr>
            <w:tcW w:w="1134"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Réalisé</w:t>
            </w:r>
          </w:p>
        </w:tc>
      </w:tr>
      <w:tr>
        <w:trPr/>
        <w:tc>
          <w:tcPr>
            <w:tcW w:w="1608"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Audit</w:t>
            </w:r>
          </w:p>
        </w:tc>
        <w:tc>
          <w:tcPr>
            <w:tcW w:w="192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
                <w:kern w:val="0"/>
                <w:sz w:val="18"/>
                <w:szCs w:val="24"/>
                <w:lang w:val="fr-FR" w:eastAsia="en-US" w:bidi="ar-SA"/>
              </w:rPr>
              <w:t>Actions correctives</w:t>
            </w:r>
          </w:p>
        </w:tc>
        <w:tc>
          <w:tcPr>
            <w:tcW w:w="3265"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cs="Calibri" w:cstheme="minorHAnsi" w:ascii="Calibri" w:hAnsi="Calibri"/>
                <w:sz w:val="24"/>
              </w:rPr>
            </w:r>
          </w:p>
        </w:tc>
        <w:tc>
          <w:tcPr>
            <w:tcW w:w="1276"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ascii="Calibri" w:hAnsi="Calibri" w:asciiTheme="minorHAnsi" w:cstheme="minorHAnsi" w:hAnsiTheme="minorHAnsi"/>
                <w:kern w:val="0"/>
                <w:sz w:val="24"/>
                <w:szCs w:val="24"/>
                <w:lang w:val="fr-FR" w:eastAsia="en-US" w:bidi="ar-SA"/>
              </w:rPr>
              <w:t>2026</w:t>
            </w:r>
          </w:p>
        </w:tc>
        <w:tc>
          <w:tcPr>
            <w:tcW w:w="1134" w:type="dxa"/>
            <w:tcBorders/>
            <w:shd w:color="auto" w:fill="FFFFFF" w:themeFill="background1" w:val="clear"/>
            <w:vAlign w:val="center"/>
          </w:tcPr>
          <w:p>
            <w:pPr>
              <w:pStyle w:val="Normal"/>
              <w:widowControl/>
              <w:suppressAutoHyphens w:val="true"/>
              <w:spacing w:lineRule="auto" w:line="276" w:before="0" w:after="0"/>
              <w:jc w:val="start"/>
              <w:rPr>
                <w:rFonts w:ascii="Calibri" w:hAnsi="Calibri" w:cs="Calibri" w:asciiTheme="minorHAnsi" w:cstheme="minorHAnsi" w:hAnsiTheme="minorHAnsi"/>
                <w:sz w:val="24"/>
              </w:rPr>
            </w:pPr>
            <w:r>
              <w:rPr>
                <w:rFonts w:eastAsia="Calibri" w:cs="Calibri" w:cstheme="minorHAnsi"/>
                <w:kern w:val="0"/>
                <w:sz w:val="18"/>
                <w:szCs w:val="24"/>
                <w:lang w:val="fr-FR" w:eastAsia="en-US" w:bidi="ar-SA"/>
              </w:rPr>
              <w:t>En cours</w:t>
            </w:r>
          </w:p>
        </w:tc>
      </w:tr>
    </w:tbl>
    <w:p>
      <w:pPr>
        <w:pStyle w:val="Normal"/>
        <w:widowControl/>
        <w:bidi w:val="0"/>
        <w:spacing w:lineRule="auto" w:line="259" w:before="0" w:after="160"/>
        <w:jc w:val="start"/>
        <w:rPr/>
      </w:pPr>
      <w:r>
        <w:rPr/>
      </w:r>
    </w:p>
    <w:sectPr>
      <w:footerReference w:type="even" r:id="rId2"/>
      <w:footerReference w:type="default" r:id="rId3"/>
      <w:footerReference w:type="first" r:id="rId4"/>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Poppins">
    <w:charset w:val="01"/>
    <w:family w:val="roman"/>
    <w:pitch w:val="default"/>
  </w:font>
  <w:font w:name="Poppins SemiBold">
    <w:charset w:val="01"/>
    <w:family w:val="roman"/>
    <w:pitch w:val="default"/>
  </w:font>
  <w:font w:name="Poppins Medium">
    <w:charset w:val="01"/>
    <w:family w:val="roman"/>
    <w:pitch w:val="default"/>
  </w:font>
  <w:font w:name="Source Sans Pro">
    <w:charset w:val="01"/>
    <w:family w:val="swiss"/>
    <w:pitch w:val="default"/>
  </w:font>
  <w:font w:name="Verdana">
    <w:charset w:val="01"/>
    <w:family w:val="swiss"/>
    <w:pitch w:val="default"/>
  </w:font>
  <w:font w:name="Liberation Sans">
    <w:altName w:val="Arial"/>
    <w:charset w:val="00" w:characterSet="windows-1252"/>
    <w:family w:val="swiss"/>
    <w:pitch w:val="variable"/>
  </w:font>
  <w:font w:name="Times New Roman">
    <w:charset w:val="01"/>
    <w:family w:val="roman"/>
    <w:pitch w:val="default"/>
  </w:font>
  <w:font w:name="Liberation Sans">
    <w:altName w:val="Arial"/>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highlight w:val="none"/>
        <w:shd w:fill="auto" w:val="clear"/>
      </w:rPr>
    </w:pPr>
    <w:r>
      <w:rPr/>
    </w:r>
    <w:r>
      <w:rPr/>
      <w:t>Plan annuel d’actions 20</w:t>
    </w:r>
    <w:r>
      <w:rPr/>
      <w:t>26</w:t>
    </w:r>
    <w:r>
      <w:rPr/>
      <w:t xml:space="preserve"> – </w:t>
    </w:r>
    <w:r>
      <w:rPr/>
      <w:t>L</w:t>
    </w:r>
    <w:r>
      <w:rPr/>
    </w:r>
    <w:r>
      <w:rPr>
        <w:shd w:fill="auto" w:val="clear"/>
      </w:rPr>
      <w:t>abastide-Chalosse</w:t>
    </w:r>
    <w:r>
      <w:rPr>
        <w:shd w:fill="auto" w:val="clear"/>
      </w:rPr>
      <w:tab/>
    </w:r>
    <w:r>
      <w:rPr>
        <w:shd w:fill="auto" w:val="clear"/>
      </w:rPr>
      <w:fldChar w:fldCharType="begin"/>
    </w:r>
    <w:r>
      <w:rPr>
        <w:shd w:fill="auto" w:val="clear"/>
      </w:rPr>
      <w:instrText xml:space="preserve"> PAGE </w:instrText>
    </w:r>
    <w:r>
      <w:rPr>
        <w:shd w:fill="auto" w:val="clear"/>
      </w:rPr>
      <w:fldChar w:fldCharType="separate"/>
    </w:r>
    <w:r>
      <w:rPr>
        <w:shd w:fill="auto" w:val="clear"/>
      </w:rPr>
      <w:t>4</w:t>
    </w:r>
    <w:r>
      <w:rPr>
        <w:shd w:fill="auto" w:val="clear"/>
      </w:rPr>
      <w:fldChar w:fldCharType="end"/>
    </w:r>
    <w:r>
      <w:rPr>
        <w:shd w:fill="auto" w:val="clear"/>
      </w:rPr>
      <w:t>/4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highlight w:val="none"/>
        <w:shd w:fill="auto" w:val="clear"/>
      </w:rPr>
    </w:pPr>
    <w:r>
      <w:rPr/>
    </w:r>
    <w:r>
      <w:rPr/>
      <w:t>Plan annuel d’actions 20</w:t>
    </w:r>
    <w:r>
      <w:rPr/>
      <w:t>26</w:t>
    </w:r>
    <w:r>
      <w:rPr/>
      <w:t xml:space="preserve"> – </w:t>
    </w:r>
    <w:r>
      <w:rPr/>
      <w:t>L</w:t>
    </w:r>
    <w:r>
      <w:rPr/>
    </w:r>
    <w:r>
      <w:rPr>
        <w:shd w:fill="auto" w:val="clear"/>
      </w:rPr>
      <w:t>abastide-Chalosse</w:t>
    </w:r>
    <w:r>
      <w:rPr>
        <w:shd w:fill="auto" w:val="clear"/>
      </w:rPr>
      <w:tab/>
    </w:r>
    <w:r>
      <w:rPr>
        <w:shd w:fill="auto" w:val="clear"/>
      </w:rPr>
      <w:fldChar w:fldCharType="begin"/>
    </w:r>
    <w:r>
      <w:rPr>
        <w:shd w:fill="auto" w:val="clear"/>
      </w:rPr>
      <w:instrText xml:space="preserve"> PAGE </w:instrText>
    </w:r>
    <w:r>
      <w:rPr>
        <w:shd w:fill="auto" w:val="clear"/>
      </w:rPr>
      <w:fldChar w:fldCharType="separate"/>
    </w:r>
    <w:r>
      <w:rPr>
        <w:shd w:fill="auto" w:val="clear"/>
      </w:rPr>
      <w:t>4</w:t>
    </w:r>
    <w:r>
      <w:rPr>
        <w:shd w:fill="auto" w:val="clear"/>
      </w:rPr>
      <w:fldChar w:fldCharType="end"/>
    </w:r>
    <w:r>
      <w:rPr>
        <w:shd w:fill="auto" w:val="clear"/>
      </w:rPr>
      <w:t>/4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0422"/>
    <w:pPr>
      <w:widowControl/>
      <w:suppressAutoHyphens w:val="true"/>
      <w:bidi w:val="0"/>
      <w:spacing w:lineRule="auto" w:line="259" w:before="0" w:after="160"/>
      <w:jc w:val="start"/>
    </w:pPr>
    <w:rPr>
      <w:rFonts w:ascii="Poppins" w:hAnsi="Poppins" w:eastAsia="Calibri" w:cs="" w:cstheme="minorBidi" w:eastAsiaTheme="minorHAnsi"/>
      <w:color w:val="auto"/>
      <w:kern w:val="0"/>
      <w:sz w:val="22"/>
      <w:szCs w:val="22"/>
      <w:lang w:val="fr-FR" w:eastAsia="en-US" w:bidi="ar-SA"/>
    </w:rPr>
  </w:style>
  <w:style w:type="paragraph" w:styleId="Heading1">
    <w:name w:val="heading 1"/>
    <w:basedOn w:val="Normal"/>
    <w:next w:val="Normal"/>
    <w:link w:val="Titre1Car"/>
    <w:uiPriority w:val="9"/>
    <w:qFormat/>
    <w:rsid w:val="002b74b1"/>
    <w:pPr>
      <w:keepNext w:val="true"/>
      <w:keepLines/>
      <w:spacing w:lineRule="auto" w:line="240" w:before="400" w:after="300"/>
      <w:outlineLvl w:val="0"/>
    </w:pPr>
    <w:rPr>
      <w:rFonts w:ascii="Poppins SemiBold" w:hAnsi="Poppins SemiBold" w:eastAsia="" w:cs="" w:cstheme="majorBidi" w:eastAsiaTheme="majorEastAsia"/>
      <w:b/>
      <w:color w:themeColor="accent1" w:themeShade="bf" w:val="2F5496"/>
      <w:sz w:val="32"/>
      <w:szCs w:val="40"/>
    </w:rPr>
  </w:style>
  <w:style w:type="paragraph" w:styleId="Heading2">
    <w:name w:val="heading 2"/>
    <w:basedOn w:val="Normal"/>
    <w:next w:val="Normal"/>
    <w:link w:val="Titre2Car"/>
    <w:uiPriority w:val="9"/>
    <w:unhideWhenUsed/>
    <w:qFormat/>
    <w:rsid w:val="008e5712"/>
    <w:pPr>
      <w:keepNext w:val="true"/>
      <w:shd w:val="clear" w:color="auto" w:fill="DEEAF6" w:themeFill="accent5" w:themeFillTint="33"/>
      <w:spacing w:lineRule="auto" w:line="360" w:before="240" w:after="0"/>
      <w:outlineLvl w:val="1"/>
    </w:pPr>
    <w:rPr>
      <w:rFonts w:ascii="Poppins Medium" w:hAnsi="Poppins Medium" w:eastAsia="" w:cs="Calibri" w:cstheme="minorHAnsi" w:eastAsiaTheme="majorEastAsia"/>
      <w:b/>
      <w:bCs/>
      <w:color w:themeColor="accent1" w:themeShade="bf" w:val="2F5496"/>
      <w:sz w:val="24"/>
      <w:szCs w:val="28"/>
    </w:rPr>
  </w:style>
  <w:style w:type="paragraph" w:styleId="Heading3">
    <w:name w:val="heading 3"/>
    <w:basedOn w:val="Normal"/>
    <w:next w:val="Normal"/>
    <w:link w:val="Titre3Car"/>
    <w:uiPriority w:val="9"/>
    <w:unhideWhenUsed/>
    <w:qFormat/>
    <w:rsid w:val="00ae1fc7"/>
    <w:pPr>
      <w:keepNext w:val="true"/>
      <w:keepLines/>
      <w:spacing w:lineRule="auto" w:line="240" w:before="360" w:after="240"/>
      <w:ind w:start="567"/>
      <w:outlineLvl w:val="2"/>
    </w:pPr>
    <w:rPr>
      <w:rFonts w:ascii="Source Sans Pro" w:hAnsi="Source Sans Pro" w:eastAsia="" w:cs="" w:cstheme="majorBidi" w:eastAsiaTheme="majorEastAsia"/>
      <w:b/>
      <w:bCs/>
      <w:color w:themeColor="text1" w:val="000000"/>
      <w:sz w:val="24"/>
      <w:szCs w:val="24"/>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uiPriority w:val="9"/>
    <w:qFormat/>
    <w:rsid w:val="008e5712"/>
    <w:rPr>
      <w:rFonts w:ascii="Poppins Medium" w:hAnsi="Poppins Medium" w:eastAsia="" w:cs="Calibri" w:cstheme="minorHAnsi" w:eastAsiaTheme="majorEastAsia"/>
      <w:b/>
      <w:bCs/>
      <w:color w:themeColor="accent1" w:themeShade="bf" w:val="2F5496"/>
      <w:sz w:val="24"/>
      <w:szCs w:val="28"/>
      <w:shd w:fill="DEEAF6" w:val="clear"/>
    </w:rPr>
  </w:style>
  <w:style w:type="character" w:styleId="Titre1Car" w:customStyle="1">
    <w:name w:val="Titre 1 Car"/>
    <w:basedOn w:val="DefaultParagraphFont"/>
    <w:uiPriority w:val="9"/>
    <w:qFormat/>
    <w:rsid w:val="00460447"/>
    <w:rPr>
      <w:rFonts w:ascii="Poppins SemiBold" w:hAnsi="Poppins SemiBold" w:eastAsia="" w:cs="" w:cstheme="majorBidi" w:eastAsiaTheme="majorEastAsia"/>
      <w:b/>
      <w:color w:themeColor="accent1" w:themeShade="bf" w:val="2F5496"/>
      <w:sz w:val="32"/>
      <w:szCs w:val="40"/>
    </w:rPr>
  </w:style>
  <w:style w:type="character" w:styleId="Titre3Car" w:customStyle="1">
    <w:name w:val="Titre 3 Car"/>
    <w:basedOn w:val="DefaultParagraphFont"/>
    <w:uiPriority w:val="9"/>
    <w:qFormat/>
    <w:rsid w:val="00ae1fc7"/>
    <w:rPr>
      <w:rFonts w:ascii="Source Sans Pro" w:hAnsi="Source Sans Pro" w:eastAsia="" w:cs="" w:cstheme="majorBidi" w:eastAsiaTheme="majorEastAsia"/>
      <w:b/>
      <w:bCs/>
      <w:color w:themeColor="text1" w:val="000000"/>
      <w:sz w:val="24"/>
      <w:szCs w:val="24"/>
    </w:rPr>
  </w:style>
  <w:style w:type="character" w:styleId="En-tteCar" w:customStyle="1">
    <w:name w:val="En-tête Car"/>
    <w:basedOn w:val="DefaultParagraphFont"/>
    <w:uiPriority w:val="99"/>
    <w:qFormat/>
    <w:rsid w:val="00750378"/>
    <w:rPr>
      <w:rFonts w:ascii="Verdana" w:hAnsi="Verdana"/>
      <w:sz w:val="18"/>
      <w:szCs w:val="24"/>
    </w:rPr>
  </w:style>
  <w:style w:type="character" w:styleId="PieddepageCar" w:customStyle="1">
    <w:name w:val="Pied de page Car"/>
    <w:basedOn w:val="DefaultParagraphFont"/>
    <w:uiPriority w:val="99"/>
    <w:qFormat/>
    <w:rsid w:val="00750378"/>
    <w:rPr>
      <w:rFonts w:ascii="Verdana" w:hAnsi="Verdana"/>
      <w:sz w:val="18"/>
      <w:szCs w:val="24"/>
    </w:rPr>
  </w:style>
  <w:style w:type="character" w:styleId="Hyperlink">
    <w:name w:val="Hyperlink"/>
    <w:basedOn w:val="DefaultParagraphFont"/>
    <w:uiPriority w:val="99"/>
    <w:unhideWhenUsed/>
    <w:qFormat/>
    <w:rsid w:val="00750378"/>
    <w:rPr>
      <w:rFonts w:ascii="Verdana" w:hAnsi="Verdana"/>
      <w:color w:val="962E3E"/>
      <w:sz w:val="18"/>
      <w:u w:val="single"/>
    </w:rPr>
  </w:style>
  <w:style w:type="character" w:styleId="modifierCar" w:customStyle="1">
    <w:name w:val="À modifier Car"/>
    <w:basedOn w:val="DefaultParagraphFont"/>
    <w:link w:val="modifier"/>
    <w:qFormat/>
    <w:rsid w:val="00e40422"/>
    <w:rPr>
      <w:rFonts w:ascii="Poppins" w:hAnsi="Poppins"/>
      <w:sz w:val="21"/>
      <w:szCs w:val="24"/>
      <w:shd w:fill="FFFF00" w:val="clear"/>
    </w:rPr>
  </w:style>
  <w:style w:type="character" w:styleId="Mentionnonrsolue1" w:customStyle="1">
    <w:name w:val="Mention non résolue1"/>
    <w:basedOn w:val="DefaultParagraphFont"/>
    <w:uiPriority w:val="99"/>
    <w:semiHidden/>
    <w:unhideWhenUsed/>
    <w:qFormat/>
    <w:rsid w:val="006a5199"/>
    <w:rPr>
      <w:color w:val="605E5C"/>
      <w:shd w:fill="E1DFDD" w:val="clear"/>
    </w:rPr>
  </w:style>
  <w:style w:type="character" w:styleId="Sautdindexuser">
    <w:name w:val="Saut d'index (user)"/>
    <w:qFormat/>
    <w:rPr/>
  </w:style>
  <w:style w:type="character" w:styleId="Sautdindex">
    <w:name w:val="Saut d'index"/>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w:sz w:val="24"/>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sz w:val="24"/>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qFormat/>
    <w:rsid w:val="00750378"/>
    <w:pPr>
      <w:tabs>
        <w:tab w:val="clear" w:pos="708"/>
        <w:tab w:val="center" w:pos="4536" w:leader="none"/>
        <w:tab w:val="right" w:pos="9072" w:leader="none"/>
      </w:tabs>
      <w:spacing w:lineRule="auto" w:line="240" w:before="0" w:after="200"/>
    </w:pPr>
    <w:rPr>
      <w:rFonts w:ascii="Verdana" w:hAnsi="Verdana"/>
      <w:sz w:val="18"/>
      <w:szCs w:val="24"/>
    </w:rPr>
  </w:style>
  <w:style w:type="paragraph" w:styleId="Footer">
    <w:name w:val="footer"/>
    <w:basedOn w:val="Normal"/>
    <w:link w:val="PieddepageCar"/>
    <w:uiPriority w:val="99"/>
    <w:unhideWhenUsed/>
    <w:rsid w:val="00750378"/>
    <w:pPr>
      <w:tabs>
        <w:tab w:val="clear" w:pos="708"/>
        <w:tab w:val="center" w:pos="4536" w:leader="none"/>
        <w:tab w:val="right" w:pos="9072" w:leader="none"/>
      </w:tabs>
      <w:spacing w:lineRule="auto" w:line="240" w:before="0" w:after="200"/>
    </w:pPr>
    <w:rPr>
      <w:rFonts w:ascii="Verdana" w:hAnsi="Verdana"/>
      <w:sz w:val="18"/>
      <w:szCs w:val="24"/>
    </w:rPr>
  </w:style>
  <w:style w:type="paragraph" w:styleId="modifier" w:customStyle="1">
    <w:name w:val="À modifier"/>
    <w:basedOn w:val="Normal"/>
    <w:link w:val="modifierCar"/>
    <w:qFormat/>
    <w:rsid w:val="00e40422"/>
    <w:pPr>
      <w:shd w:val="clear" w:color="auto" w:fill="FFFF00"/>
      <w:spacing w:lineRule="auto" w:line="240" w:before="0" w:after="200"/>
    </w:pPr>
    <w:rPr>
      <w:sz w:val="21"/>
      <w:szCs w:val="24"/>
    </w:rPr>
  </w:style>
  <w:style w:type="paragraph" w:styleId="TOC2">
    <w:name w:val="toc 2"/>
    <w:basedOn w:val="Normal"/>
    <w:next w:val="Normal"/>
    <w:autoRedefine/>
    <w:uiPriority w:val="39"/>
    <w:unhideWhenUsed/>
    <w:rsid w:val="00db5f6b"/>
    <w:pPr>
      <w:tabs>
        <w:tab w:val="clear" w:pos="708"/>
        <w:tab w:val="left" w:pos="660" w:leader="none"/>
        <w:tab w:val="right" w:pos="9062" w:leader="dot"/>
      </w:tabs>
      <w:spacing w:before="0" w:after="100"/>
      <w:ind w:start="220"/>
    </w:pPr>
    <w:rPr>
      <w:rFonts w:cs="Calibri" w:cstheme="minorHAnsi"/>
      <w:sz w:val="24"/>
      <w:szCs w:val="24"/>
    </w:rPr>
  </w:style>
  <w:style w:type="paragraph" w:styleId="TOC1">
    <w:name w:val="toc 1"/>
    <w:basedOn w:val="Normal"/>
    <w:next w:val="Normal"/>
    <w:autoRedefine/>
    <w:uiPriority w:val="39"/>
    <w:unhideWhenUsed/>
    <w:rsid w:val="00a930bf"/>
    <w:pPr>
      <w:tabs>
        <w:tab w:val="clear" w:pos="708"/>
        <w:tab w:val="left" w:pos="440" w:leader="none"/>
        <w:tab w:val="right" w:pos="9056" w:leader="dot"/>
      </w:tabs>
      <w:spacing w:before="240" w:after="240"/>
    </w:pPr>
    <w:rPr>
      <w:rFonts w:cs="Calibri" w:cstheme="minorHAnsi"/>
      <w:b/>
      <w:bCs/>
      <w:color w:themeColor="accent1" w:themeShade="bf" w:val="2F5496"/>
      <w:sz w:val="28"/>
      <w:szCs w:val="28"/>
    </w:rPr>
  </w:style>
  <w:style w:type="paragraph" w:styleId="ListParagraph">
    <w:name w:val="List Paragraph"/>
    <w:basedOn w:val="Normal"/>
    <w:uiPriority w:val="34"/>
    <w:qFormat/>
    <w:rsid w:val="00e07e62"/>
    <w:pPr>
      <w:spacing w:before="0" w:after="160"/>
      <w:ind w:start="720"/>
      <w:contextualSpacing/>
    </w:pPr>
    <w:rPr/>
  </w:style>
  <w:style w:type="paragraph" w:styleId="Contenudecadreuser">
    <w:name w:val="Contenu de cadre (user)"/>
    <w:basedOn w:val="Normal"/>
    <w:qFormat/>
    <w:pPr/>
    <w:rPr/>
  </w:style>
  <w:style w:type="paragraph" w:styleId="Contenudecadre">
    <w:name w:val="Contenu de cadre"/>
    <w:basedOn w:val="Normal"/>
    <w:qFormat/>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auA42">
    <w:name w:val="Tableau A42"/>
    <w:basedOn w:val="TableauNormal"/>
    <w:uiPriority w:val="99"/>
    <w:rsid w:val="00750378"/>
    <w:pPr>
      <w:spacing w:before="200" w:after="200" w:line="240" w:lineRule="auto"/>
    </w:pPr>
    <w:rPr>
      <w:sz w:val="24"/>
      <w:szCs w:val="20"/>
      <w:lang w:eastAsia="ja-JP"/>
    </w:rPr>
    <w:tblPr>
      <w:tblBorders>
        <w:top w:val="single" w:color="7D829A" w:sz="8" w:space="0"/>
        <w:left w:val="single" w:color="7D829A" w:sz="8" w:space="0"/>
        <w:bottom w:val="single" w:color="7D829A" w:sz="8" w:space="0"/>
        <w:right w:val="single" w:color="7D829A" w:sz="8" w:space="0"/>
        <w:insideH w:val="single" w:color="7D829A" w:sz="8" w:space="0"/>
        <w:insideV w:val="single" w:color="7D829A" w:sz="8" w:space="0"/>
      </w:tblBorders>
    </w:tblPr>
    <w:tcPr>
      <w:shd w:val="clear" w:color="auto" w:fill="auto"/>
    </w:tcPr>
    <w:tblStylePr w:type="firstRow">
      <w:rPr>
        <w:b/>
        <w:bCs/>
        <w:i w:val="0"/>
        <w:sz w:val="24"/>
      </w:rPr>
      <w:tblPr/>
      <w:tcPr>
        <w:shd w:val="clear" w:color="auto" w:fill="E3EBF3"/>
      </w:tcPr>
    </w:tblStylePr>
  </w:style>
  <w:style w:type="table" w:styleId="Grilledetableauclaire">
    <w:name w:val="Grid Table Light"/>
    <w:basedOn w:val="TableauNormal"/>
    <w:uiPriority w:val="40"/>
    <w:rsid w:val="00cc3e35"/>
    <w:pPr>
      <w:spacing w:after="0" w:line="240" w:lineRule="auto"/>
    </w:pPr>
    <w:rPr>
      <w:sz w:val="18"/>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vAlign w:val="center"/>
    </w:tcPr>
    <w:tblStylePr w:type="firstRow">
      <w:pPr>
        <w:jc w:val="left"/>
      </w:pPr>
      <w:rPr>
        <w:b/>
        <w:sz w:val="16"/>
      </w:rPr>
      <w:tblPr/>
      <w:tcPr>
        <w:shd w:val="clear" w:color="auto" w:fill="E3EBF3"/>
        <w:vAlign w:val="cente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LibreOffice/26.2.4.2$Windows_X86_64 LibreOffice_project/0229ac93fcf0d7cbc6376066c6f35021cef002dc</Application>
  <AppVersion>15.0000</AppVersion>
  <Pages>4</Pages>
  <Words>455</Words>
  <Characters>2693</Characters>
  <CharactersWithSpaces>3060</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2025-07-31T13:02:00Z</dcterms:created>
  <dc:creator>Claudine Celhaiguibel</dc:creator>
  <dc:description/>
  <dc:language>fr-FR</dc:language>
  <cp:lastModifiedBy>PROUVEZ Régis</cp:lastModifiedBy>
  <dcterms:modified xsi:type="dcterms:W3CDTF">2026-07-13T13:33:09Z</dcterms:modified>
  <cp:revision>10</cp:revision>
  <dc:subject/>
  <dc:title>Plan annuel d’actions 20[] – [strcture]</dc:title>
</cp:coreProperties>
</file>

<file path=docProps/custom.xml><?xml version="1.0" encoding="utf-8"?>
<Properties xmlns="http://schemas.openxmlformats.org/officeDocument/2006/custom-properties" xmlns:vt="http://schemas.openxmlformats.org/officeDocument/2006/docPropsVTypes"/>
</file>